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1" w:rsidRDefault="00130461" w:rsidP="001304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Math 11 AWP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Unit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– Graphical Representation</w:t>
      </w:r>
    </w:p>
    <w:p w:rsidR="007011FB" w:rsidRDefault="00130461" w:rsidP="001304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Assignment 2</w:t>
      </w:r>
      <w:r w:rsidRPr="00AB4296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  <w:u w:val="single"/>
        </w:rPr>
        <w:t>Interpolation and Extrapolation</w:t>
      </w:r>
      <w:r w:rsidR="00D16DD4">
        <w:rPr>
          <w:rFonts w:ascii="Times New Roman" w:hAnsi="Times New Roman" w:cs="Times New Roman"/>
          <w:sz w:val="24"/>
          <w:szCs w:val="24"/>
          <w:u w:val="single"/>
        </w:rPr>
        <w:t xml:space="preserve"> and Multiple Broken line Graphs</w:t>
      </w:r>
    </w:p>
    <w:p w:rsidR="00130461" w:rsidRDefault="00130461" w:rsidP="0013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Thérèse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on a road trip and is keeping track of her car’s fuel consumption.  The graph below shows the amount of gas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Thérèse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 at different times of the day.  Use the graph to discuss what she may have been doing during the different time frames.</w:t>
      </w: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2F89C689" wp14:editId="2A47DBEC">
            <wp:extent cx="5509260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Lumber is often priced in board feet.  A board foot is a is a piece of lumber 1 foot long by 1 foot wide by 1 inch think.  The graph below represents the cost per board foot of kiln-dried spruce over a period of one year.</w:t>
      </w: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3F1776E" wp14:editId="237BB5D3">
            <wp:extent cx="5943600" cy="486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461" w:rsidRDefault="00130461" w:rsidP="00130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trend in the cost of kiln-dried spruce?</w:t>
      </w: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does not show the cost in August.  Use the graph to interpolate the cost of kiln-dried spruce that month.</w:t>
      </w:r>
    </w:p>
    <w:p w:rsidR="00130461" w:rsidRPr="00130461" w:rsidRDefault="00130461" w:rsidP="001304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general trend in the data, what would you estimate the cost of kiln-dried spruce to be the following month, March?</w:t>
      </w:r>
    </w:p>
    <w:p w:rsidR="00130461" w:rsidRDefault="00130461" w:rsidP="0013046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30461" w:rsidRDefault="00130461" w:rsidP="001304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Raquel is an agent for a cell phone company.  The data below indicated the number of cell phones sold to mal</w:t>
      </w:r>
      <w:r w:rsidR="00D16DD4">
        <w:rPr>
          <w:rFonts w:ascii="Times New Roman" w:hAnsi="Times New Roman" w:cs="Times New Roman"/>
          <w:sz w:val="24"/>
          <w:szCs w:val="24"/>
        </w:rPr>
        <w:t>es and females in the last year.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3"/>
        <w:gridCol w:w="682"/>
        <w:gridCol w:w="688"/>
        <w:gridCol w:w="694"/>
        <w:gridCol w:w="690"/>
        <w:gridCol w:w="701"/>
        <w:gridCol w:w="688"/>
        <w:gridCol w:w="688"/>
        <w:gridCol w:w="697"/>
        <w:gridCol w:w="688"/>
        <w:gridCol w:w="688"/>
        <w:gridCol w:w="697"/>
        <w:gridCol w:w="692"/>
      </w:tblGrid>
      <w:tr w:rsidR="0071404B" w:rsidTr="0071404B">
        <w:tc>
          <w:tcPr>
            <w:tcW w:w="9216" w:type="dxa"/>
            <w:gridSpan w:val="13"/>
            <w:shd w:val="clear" w:color="auto" w:fill="B8CCE4" w:themeFill="accent1" w:themeFillTint="66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 Buyers by Gender</w:t>
            </w:r>
          </w:p>
        </w:tc>
      </w:tr>
      <w:tr w:rsidR="0071404B" w:rsidTr="0071404B"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</w:tr>
      <w:tr w:rsidR="0071404B" w:rsidTr="0071404B"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71404B" w:rsidTr="0071404B"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71404B" w:rsidRDefault="0071404B" w:rsidP="00D16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</w:tbl>
    <w:p w:rsidR="00D16DD4" w:rsidRDefault="00D16DD4" w:rsidP="0071404B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data to draw a double broken line graph.</w:t>
      </w:r>
    </w:p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39B0299A" wp14:editId="3638C8AC">
            <wp:extent cx="5943600" cy="3834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04B" w:rsidRDefault="0071404B" w:rsidP="00714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statement describing the general trend in cell phone purchases over the year.</w:t>
      </w:r>
    </w:p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graph indicate any relationship between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number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cell phones purchased by males compared to females?  Why or why not?</w:t>
      </w:r>
    </w:p>
    <w:p w:rsidR="0071404B" w:rsidRPr="0071404B" w:rsidRDefault="0071404B" w:rsidP="00714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this graph is a useful representation of the data?  If so, why?  If not, what might be a better way to show the trends in cell phone purchases?</w:t>
      </w:r>
    </w:p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</w:p>
    <w:p w:rsidR="0071404B" w:rsidRDefault="0071404B" w:rsidP="007140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the end of every month, Suzanne keeps a record of the price of two stocks she bought.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999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255256" w:rsidTr="00255256">
        <w:tc>
          <w:tcPr>
            <w:tcW w:w="10071" w:type="dxa"/>
            <w:gridSpan w:val="13"/>
            <w:shd w:val="clear" w:color="auto" w:fill="B8CCE4" w:themeFill="accent1" w:themeFillTint="66"/>
          </w:tcPr>
          <w:p w:rsidR="0071404B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Price by Month</w:t>
            </w:r>
          </w:p>
        </w:tc>
      </w:tr>
      <w:tr w:rsidR="00255256" w:rsidTr="00255256">
        <w:tc>
          <w:tcPr>
            <w:tcW w:w="999" w:type="dxa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</w:tr>
      <w:tr w:rsidR="00255256" w:rsidTr="00255256">
        <w:tc>
          <w:tcPr>
            <w:tcW w:w="999" w:type="dxa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A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$2.75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$2.95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$1.43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$0.89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$0.76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$0.98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$1.14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$1.28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$0.65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$0.45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$0.76</w:t>
            </w:r>
          </w:p>
        </w:tc>
        <w:tc>
          <w:tcPr>
            <w:tcW w:w="756" w:type="dxa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$0.53</w:t>
            </w:r>
          </w:p>
        </w:tc>
      </w:tr>
      <w:tr w:rsidR="00255256" w:rsidTr="00255256">
        <w:tc>
          <w:tcPr>
            <w:tcW w:w="999" w:type="dxa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B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$1.11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$1.32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$1.45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$1.20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$1.25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$1.87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$1.59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$1.76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$1.43</w:t>
            </w:r>
          </w:p>
        </w:tc>
        <w:tc>
          <w:tcPr>
            <w:tcW w:w="0" w:type="auto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$1.38</w:t>
            </w:r>
          </w:p>
        </w:tc>
        <w:tc>
          <w:tcPr>
            <w:tcW w:w="756" w:type="dxa"/>
          </w:tcPr>
          <w:p w:rsidR="00255256" w:rsidRDefault="00255256" w:rsidP="00520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$1.21</w:t>
            </w:r>
          </w:p>
        </w:tc>
      </w:tr>
    </w:tbl>
    <w:p w:rsidR="0071404B" w:rsidRDefault="0071404B" w:rsidP="0071404B">
      <w:pPr>
        <w:rPr>
          <w:rFonts w:ascii="Times New Roman" w:hAnsi="Times New Roman" w:cs="Times New Roman"/>
          <w:sz w:val="24"/>
          <w:szCs w:val="24"/>
        </w:rPr>
      </w:pPr>
    </w:p>
    <w:p w:rsidR="00255256" w:rsidRDefault="00255256" w:rsidP="00255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double broken line graph.</w:t>
      </w:r>
    </w:p>
    <w:p w:rsidR="00255256" w:rsidRDefault="00255256" w:rsidP="002552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 wp14:anchorId="00D93F99" wp14:editId="29698CE7">
            <wp:extent cx="5943600" cy="3834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56" w:rsidRDefault="00255256" w:rsidP="00255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graph to discuss the trends in the price of the two stocks and how the prices of the two stocks compare.</w:t>
      </w:r>
    </w:p>
    <w:p w:rsidR="00255256" w:rsidRDefault="00255256" w:rsidP="00255256">
      <w:pPr>
        <w:rPr>
          <w:rFonts w:ascii="Times New Roman" w:hAnsi="Times New Roman" w:cs="Times New Roman"/>
          <w:sz w:val="24"/>
          <w:szCs w:val="24"/>
        </w:rPr>
      </w:pPr>
    </w:p>
    <w:p w:rsidR="00255256" w:rsidRDefault="00255256" w:rsidP="00255256">
      <w:pPr>
        <w:rPr>
          <w:rFonts w:ascii="Times New Roman" w:hAnsi="Times New Roman" w:cs="Times New Roman"/>
          <w:sz w:val="24"/>
          <w:szCs w:val="24"/>
        </w:rPr>
      </w:pPr>
    </w:p>
    <w:p w:rsidR="00255256" w:rsidRPr="00255256" w:rsidRDefault="00255256" w:rsidP="002552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Suzanne were to sell one and buy more of the other, which would you suggest she sell?  Why?</w:t>
      </w:r>
      <w:bookmarkStart w:id="0" w:name="_GoBack"/>
      <w:bookmarkEnd w:id="0"/>
    </w:p>
    <w:sectPr w:rsidR="00255256" w:rsidRPr="00255256" w:rsidSect="0071404B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B3A"/>
    <w:multiLevelType w:val="hybridMultilevel"/>
    <w:tmpl w:val="BC243B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62A67"/>
    <w:multiLevelType w:val="hybridMultilevel"/>
    <w:tmpl w:val="C6F43C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2CD"/>
    <w:multiLevelType w:val="hybridMultilevel"/>
    <w:tmpl w:val="DF42A50E"/>
    <w:lvl w:ilvl="0" w:tplc="3F6C6B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1475A"/>
    <w:multiLevelType w:val="hybridMultilevel"/>
    <w:tmpl w:val="7526BB0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1"/>
    <w:rsid w:val="00130461"/>
    <w:rsid w:val="00255256"/>
    <w:rsid w:val="007011FB"/>
    <w:rsid w:val="0071404B"/>
    <w:rsid w:val="00D1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4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dcterms:created xsi:type="dcterms:W3CDTF">2016-09-08T14:34:00Z</dcterms:created>
  <dcterms:modified xsi:type="dcterms:W3CDTF">2016-09-08T15:03:00Z</dcterms:modified>
</cp:coreProperties>
</file>