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7363F" w:rsidRPr="00EF3E33" w:rsidTr="00F567C8">
        <w:tc>
          <w:tcPr>
            <w:tcW w:w="4788" w:type="dxa"/>
          </w:tcPr>
          <w:p w:rsidR="0097363F" w:rsidRPr="00086D2B" w:rsidRDefault="0097363F" w:rsidP="00F567C8">
            <w:pPr>
              <w:rPr>
                <w:b/>
              </w:rPr>
            </w:pPr>
            <w:r w:rsidRPr="00086D2B">
              <w:rPr>
                <w:b/>
                <w:u w:val="single"/>
              </w:rPr>
              <w:t>Teacher</w:t>
            </w:r>
            <w:r w:rsidRPr="00086D2B">
              <w:rPr>
                <w:b/>
              </w:rPr>
              <w:t>: Ms. Lysne</w:t>
            </w:r>
          </w:p>
        </w:tc>
        <w:tc>
          <w:tcPr>
            <w:tcW w:w="4788" w:type="dxa"/>
          </w:tcPr>
          <w:p w:rsidR="0097363F" w:rsidRPr="00086D2B" w:rsidRDefault="0097363F" w:rsidP="00F567C8">
            <w:pPr>
              <w:jc w:val="right"/>
              <w:rPr>
                <w:b/>
              </w:rPr>
            </w:pPr>
            <w:r w:rsidRPr="00086D2B">
              <w:rPr>
                <w:b/>
              </w:rPr>
              <w:t>mlysne@deltasd.bc.ca</w:t>
            </w:r>
          </w:p>
        </w:tc>
      </w:tr>
      <w:tr w:rsidR="0097363F" w:rsidRPr="00EF3E33" w:rsidTr="00F567C8">
        <w:tc>
          <w:tcPr>
            <w:tcW w:w="4788" w:type="dxa"/>
          </w:tcPr>
          <w:p w:rsidR="0097363F" w:rsidRPr="00086D2B" w:rsidRDefault="0097363F" w:rsidP="00F567C8">
            <w:pPr>
              <w:rPr>
                <w:b/>
              </w:rPr>
            </w:pPr>
            <w:r w:rsidRPr="00086D2B">
              <w:rPr>
                <w:b/>
                <w:u w:val="single"/>
              </w:rPr>
              <w:t>Classroom</w:t>
            </w:r>
            <w:r w:rsidRPr="00086D2B">
              <w:rPr>
                <w:b/>
              </w:rPr>
              <w:t xml:space="preserve">: </w:t>
            </w:r>
            <w:r w:rsidR="005C22D7">
              <w:rPr>
                <w:b/>
              </w:rPr>
              <w:t>183</w:t>
            </w:r>
            <w:bookmarkStart w:id="0" w:name="_GoBack"/>
            <w:bookmarkEnd w:id="0"/>
          </w:p>
        </w:tc>
        <w:tc>
          <w:tcPr>
            <w:tcW w:w="4788" w:type="dxa"/>
          </w:tcPr>
          <w:p w:rsidR="0097363F" w:rsidRPr="00086D2B" w:rsidRDefault="0097363F" w:rsidP="00F567C8">
            <w:pPr>
              <w:jc w:val="right"/>
              <w:rPr>
                <w:b/>
              </w:rPr>
            </w:pPr>
            <w:r w:rsidRPr="00086D2B">
              <w:rPr>
                <w:b/>
              </w:rPr>
              <w:t>http://www.lysneclassroom.weebly.com</w:t>
            </w:r>
          </w:p>
        </w:tc>
      </w:tr>
    </w:tbl>
    <w:p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t>Course Rational</w:t>
      </w:r>
    </w:p>
    <w:p w:rsidR="0097363F" w:rsidRDefault="0097363F" w:rsidP="0097363F">
      <w:r>
        <w:t>Learning to solve problems is the main reason for studying mathematics. In today’s technological world, many people are finding that their job demands higher levels of mathematical ability than ever before.</w:t>
      </w:r>
    </w:p>
    <w:p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t>Course Structure</w:t>
      </w:r>
    </w:p>
    <w:p w:rsidR="0097363F" w:rsidRDefault="0097363F" w:rsidP="0097363F">
      <w:r>
        <w:t>The material for this course will be delivered in a variety of ways, the intention being to address the different learning style preferences of students enrolled in the course and at the same time, utilize suitably proven teaching methods to ensure successful concept development. It is expected that all students will endeavor to work equally well independently or collaboratively.</w:t>
      </w:r>
    </w:p>
    <w:p w:rsidR="0097363F" w:rsidRDefault="0097363F" w:rsidP="0097363F"/>
    <w:p w:rsidR="0097363F" w:rsidRDefault="0097363F" w:rsidP="0097363F">
      <w:r>
        <w:t>Textbook assignments will be given on a regular basis. On going student self-assessment will be an integral part of this course as students learn to take responsibility for their own learning.</w:t>
      </w:r>
    </w:p>
    <w:p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t>Course Grade</w:t>
      </w:r>
    </w:p>
    <w:p w:rsidR="0097363F" w:rsidRDefault="0097363F" w:rsidP="0097363F">
      <w:r>
        <w:t>Students will be assessed and evaluated on an individual basis using a variety of the following techniques:</w:t>
      </w:r>
    </w:p>
    <w:p w:rsidR="0097363F" w:rsidRDefault="0097363F" w:rsidP="009736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3191"/>
        <w:gridCol w:w="2826"/>
      </w:tblGrid>
      <w:tr w:rsidR="0097363F" w:rsidTr="00F567C8">
        <w:tblPrEx>
          <w:tblCellMar>
            <w:top w:w="0" w:type="dxa"/>
            <w:bottom w:w="0" w:type="dxa"/>
          </w:tblCellMar>
        </w:tblPrEx>
        <w:trPr>
          <w:jc w:val="center"/>
        </w:trPr>
        <w:tc>
          <w:tcPr>
            <w:tcW w:w="2839" w:type="dxa"/>
            <w:tcBorders>
              <w:top w:val="single" w:sz="4" w:space="0" w:color="auto"/>
              <w:left w:val="single" w:sz="4" w:space="0" w:color="auto"/>
              <w:bottom w:val="single" w:sz="4" w:space="0" w:color="auto"/>
              <w:right w:val="single" w:sz="4" w:space="0" w:color="auto"/>
            </w:tcBorders>
          </w:tcPr>
          <w:p w:rsidR="0097363F" w:rsidRDefault="0097363F" w:rsidP="00F567C8">
            <w:pPr>
              <w:jc w:val="center"/>
              <w:rPr>
                <w:b/>
                <w:sz w:val="28"/>
              </w:rPr>
            </w:pPr>
            <w:r>
              <w:rPr>
                <w:b/>
                <w:sz w:val="28"/>
              </w:rPr>
              <w:t>Category</w:t>
            </w:r>
          </w:p>
        </w:tc>
        <w:tc>
          <w:tcPr>
            <w:tcW w:w="3191" w:type="dxa"/>
            <w:tcBorders>
              <w:top w:val="single" w:sz="4" w:space="0" w:color="auto"/>
              <w:left w:val="single" w:sz="4" w:space="0" w:color="auto"/>
              <w:bottom w:val="single" w:sz="4" w:space="0" w:color="auto"/>
              <w:right w:val="single" w:sz="4" w:space="0" w:color="auto"/>
            </w:tcBorders>
          </w:tcPr>
          <w:p w:rsidR="0097363F" w:rsidRDefault="0097363F" w:rsidP="00F567C8">
            <w:pPr>
              <w:pStyle w:val="Heading3"/>
            </w:pPr>
            <w:r>
              <w:t>Description</w:t>
            </w:r>
          </w:p>
        </w:tc>
        <w:tc>
          <w:tcPr>
            <w:tcW w:w="2826" w:type="dxa"/>
            <w:tcBorders>
              <w:top w:val="single" w:sz="4" w:space="0" w:color="auto"/>
              <w:left w:val="single" w:sz="4" w:space="0" w:color="auto"/>
              <w:bottom w:val="single" w:sz="4" w:space="0" w:color="auto"/>
              <w:right w:val="single" w:sz="4" w:space="0" w:color="auto"/>
            </w:tcBorders>
          </w:tcPr>
          <w:p w:rsidR="0097363F" w:rsidRDefault="0097363F" w:rsidP="00F567C8">
            <w:pPr>
              <w:jc w:val="center"/>
              <w:rPr>
                <w:b/>
                <w:sz w:val="28"/>
              </w:rPr>
            </w:pPr>
            <w:r>
              <w:rPr>
                <w:b/>
                <w:sz w:val="28"/>
              </w:rPr>
              <w:t>Weight</w:t>
            </w:r>
          </w:p>
        </w:tc>
      </w:tr>
      <w:tr w:rsidR="0097363F" w:rsidTr="00F567C8">
        <w:tblPrEx>
          <w:tblCellMar>
            <w:top w:w="0" w:type="dxa"/>
            <w:bottom w:w="0" w:type="dxa"/>
          </w:tblCellMar>
        </w:tblPrEx>
        <w:trPr>
          <w:jc w:val="center"/>
        </w:trPr>
        <w:tc>
          <w:tcPr>
            <w:tcW w:w="2839" w:type="dxa"/>
            <w:tcBorders>
              <w:top w:val="single" w:sz="4" w:space="0" w:color="auto"/>
            </w:tcBorders>
            <w:vAlign w:val="center"/>
          </w:tcPr>
          <w:p w:rsidR="0097363F" w:rsidRDefault="0097363F" w:rsidP="00F567C8">
            <w:pPr>
              <w:pStyle w:val="Heading2"/>
            </w:pPr>
            <w:r>
              <w:t>Tests</w:t>
            </w:r>
          </w:p>
          <w:p w:rsidR="0097363F" w:rsidRPr="0086001F" w:rsidRDefault="0097363F" w:rsidP="00F567C8">
            <w:pPr>
              <w:jc w:val="center"/>
              <w:rPr>
                <w:b/>
              </w:rPr>
            </w:pPr>
            <w:r w:rsidRPr="0086001F">
              <w:rPr>
                <w:b/>
              </w:rPr>
              <w:t>&amp;</w:t>
            </w:r>
          </w:p>
          <w:p w:rsidR="0097363F" w:rsidRPr="0086001F" w:rsidRDefault="0097363F" w:rsidP="00F567C8">
            <w:pPr>
              <w:jc w:val="center"/>
              <w:rPr>
                <w:b/>
              </w:rPr>
            </w:pPr>
            <w:r w:rsidRPr="0086001F">
              <w:rPr>
                <w:b/>
              </w:rPr>
              <w:t>Projects</w:t>
            </w:r>
          </w:p>
          <w:p w:rsidR="0097363F" w:rsidRDefault="0097363F" w:rsidP="00F567C8">
            <w:pPr>
              <w:jc w:val="center"/>
              <w:rPr>
                <w:sz w:val="20"/>
              </w:rPr>
            </w:pPr>
            <w:r>
              <w:rPr>
                <w:sz w:val="20"/>
              </w:rPr>
              <w:t>Teacher evaluation</w:t>
            </w:r>
          </w:p>
        </w:tc>
        <w:tc>
          <w:tcPr>
            <w:tcW w:w="3191" w:type="dxa"/>
            <w:tcBorders>
              <w:top w:val="single" w:sz="4" w:space="0" w:color="auto"/>
            </w:tcBorders>
          </w:tcPr>
          <w:p w:rsidR="0097363F" w:rsidRDefault="0097363F" w:rsidP="00F567C8">
            <w:r>
              <w:t>• midterm testing</w:t>
            </w:r>
          </w:p>
          <w:p w:rsidR="0097363F" w:rsidRDefault="0097363F" w:rsidP="00F567C8">
            <w:r>
              <w:t>• chapter tests</w:t>
            </w:r>
          </w:p>
          <w:p w:rsidR="0097363F" w:rsidRDefault="0097363F" w:rsidP="00F567C8">
            <w:r>
              <w:t>• cumulative testing</w:t>
            </w:r>
          </w:p>
          <w:p w:rsidR="0097363F" w:rsidRDefault="0097363F" w:rsidP="00F567C8">
            <w:r>
              <w:t>• cross-grade testing</w:t>
            </w:r>
          </w:p>
          <w:p w:rsidR="0097363F" w:rsidRDefault="0097363F" w:rsidP="00F567C8">
            <w:r>
              <w:t>• projects</w:t>
            </w:r>
          </w:p>
        </w:tc>
        <w:tc>
          <w:tcPr>
            <w:tcW w:w="2826" w:type="dxa"/>
            <w:tcBorders>
              <w:top w:val="single" w:sz="4" w:space="0" w:color="auto"/>
            </w:tcBorders>
            <w:vAlign w:val="center"/>
          </w:tcPr>
          <w:p w:rsidR="0097363F" w:rsidRDefault="0097363F" w:rsidP="00F567C8">
            <w:pPr>
              <w:jc w:val="center"/>
            </w:pPr>
            <w:r>
              <w:t>80 %</w:t>
            </w:r>
          </w:p>
        </w:tc>
      </w:tr>
      <w:tr w:rsidR="0097363F" w:rsidTr="00F567C8">
        <w:tblPrEx>
          <w:tblCellMar>
            <w:top w:w="0" w:type="dxa"/>
            <w:bottom w:w="0" w:type="dxa"/>
          </w:tblCellMar>
        </w:tblPrEx>
        <w:trPr>
          <w:jc w:val="center"/>
        </w:trPr>
        <w:tc>
          <w:tcPr>
            <w:tcW w:w="2839" w:type="dxa"/>
            <w:vAlign w:val="center"/>
          </w:tcPr>
          <w:p w:rsidR="0097363F" w:rsidRDefault="0097363F" w:rsidP="00F567C8">
            <w:pPr>
              <w:pStyle w:val="Heading2"/>
            </w:pPr>
            <w:r>
              <w:t>Quizzes</w:t>
            </w:r>
          </w:p>
          <w:p w:rsidR="0097363F" w:rsidRDefault="0097363F" w:rsidP="00F567C8">
            <w:pPr>
              <w:jc w:val="center"/>
              <w:rPr>
                <w:sz w:val="20"/>
              </w:rPr>
            </w:pPr>
            <w:r>
              <w:rPr>
                <w:sz w:val="20"/>
              </w:rPr>
              <w:t>Student self-assessment</w:t>
            </w:r>
          </w:p>
        </w:tc>
        <w:tc>
          <w:tcPr>
            <w:tcW w:w="3191" w:type="dxa"/>
          </w:tcPr>
          <w:p w:rsidR="0097363F" w:rsidRDefault="0097363F" w:rsidP="00F567C8">
            <w:r>
              <w:t>• skill assessment</w:t>
            </w:r>
          </w:p>
          <w:p w:rsidR="0097363F" w:rsidRDefault="0097363F" w:rsidP="00F567C8">
            <w:r>
              <w:t xml:space="preserve">• </w:t>
            </w:r>
            <w:r>
              <w:rPr>
                <w:i/>
              </w:rPr>
              <w:t>may</w:t>
            </w:r>
            <w:r>
              <w:t xml:space="preserve"> have chance for rewrite</w:t>
            </w:r>
          </w:p>
        </w:tc>
        <w:tc>
          <w:tcPr>
            <w:tcW w:w="2826" w:type="dxa"/>
            <w:vAlign w:val="center"/>
          </w:tcPr>
          <w:p w:rsidR="0097363F" w:rsidRDefault="0097363F" w:rsidP="00F567C8">
            <w:pPr>
              <w:jc w:val="center"/>
            </w:pPr>
            <w:r>
              <w:t>10 %</w:t>
            </w:r>
          </w:p>
        </w:tc>
      </w:tr>
      <w:tr w:rsidR="0097363F" w:rsidTr="00F567C8">
        <w:tblPrEx>
          <w:tblCellMar>
            <w:top w:w="0" w:type="dxa"/>
            <w:bottom w:w="0" w:type="dxa"/>
          </w:tblCellMar>
        </w:tblPrEx>
        <w:trPr>
          <w:trHeight w:val="845"/>
          <w:jc w:val="center"/>
        </w:trPr>
        <w:tc>
          <w:tcPr>
            <w:tcW w:w="2839" w:type="dxa"/>
            <w:vAlign w:val="center"/>
          </w:tcPr>
          <w:p w:rsidR="0097363F" w:rsidRDefault="0097363F" w:rsidP="00F567C8">
            <w:pPr>
              <w:pStyle w:val="Heading2"/>
            </w:pPr>
            <w:r>
              <w:t>Assignments</w:t>
            </w:r>
          </w:p>
          <w:p w:rsidR="0097363F" w:rsidRPr="00EC3BE3" w:rsidRDefault="0097363F" w:rsidP="00F567C8">
            <w:pPr>
              <w:jc w:val="center"/>
              <w:rPr>
                <w:b/>
              </w:rPr>
            </w:pPr>
            <w:r w:rsidRPr="00EC3BE3">
              <w:rPr>
                <w:b/>
              </w:rPr>
              <w:t>&amp;</w:t>
            </w:r>
          </w:p>
          <w:p w:rsidR="0097363F" w:rsidRPr="00EC3BE3" w:rsidRDefault="0097363F" w:rsidP="00F567C8">
            <w:pPr>
              <w:jc w:val="center"/>
              <w:rPr>
                <w:b/>
              </w:rPr>
            </w:pPr>
            <w:r w:rsidRPr="00EC3BE3">
              <w:rPr>
                <w:b/>
              </w:rPr>
              <w:t>Practice</w:t>
            </w:r>
          </w:p>
          <w:p w:rsidR="0097363F" w:rsidRDefault="0097363F" w:rsidP="00F567C8">
            <w:pPr>
              <w:jc w:val="center"/>
              <w:rPr>
                <w:sz w:val="20"/>
              </w:rPr>
            </w:pPr>
            <w:r>
              <w:rPr>
                <w:sz w:val="20"/>
              </w:rPr>
              <w:t>Teacher evaluation</w:t>
            </w:r>
          </w:p>
          <w:p w:rsidR="0097363F" w:rsidRDefault="0097363F" w:rsidP="00F567C8">
            <w:pPr>
              <w:jc w:val="center"/>
              <w:rPr>
                <w:sz w:val="20"/>
              </w:rPr>
            </w:pPr>
            <w:r>
              <w:rPr>
                <w:sz w:val="20"/>
              </w:rPr>
              <w:t>Student self-assessment</w:t>
            </w:r>
          </w:p>
          <w:p w:rsidR="0097363F" w:rsidRDefault="0097363F" w:rsidP="00F567C8">
            <w:pPr>
              <w:jc w:val="center"/>
              <w:rPr>
                <w:sz w:val="20"/>
              </w:rPr>
            </w:pPr>
            <w:r>
              <w:rPr>
                <w:sz w:val="20"/>
              </w:rPr>
              <w:t>&amp;</w:t>
            </w:r>
          </w:p>
          <w:p w:rsidR="0097363F" w:rsidRDefault="0097363F" w:rsidP="00F567C8">
            <w:pPr>
              <w:jc w:val="center"/>
              <w:rPr>
                <w:b/>
              </w:rPr>
            </w:pPr>
            <w:r>
              <w:rPr>
                <w:sz w:val="20"/>
              </w:rPr>
              <w:t>Concept and skill development</w:t>
            </w:r>
          </w:p>
        </w:tc>
        <w:tc>
          <w:tcPr>
            <w:tcW w:w="3191" w:type="dxa"/>
          </w:tcPr>
          <w:p w:rsidR="0097363F" w:rsidRDefault="0097363F" w:rsidP="00F567C8">
            <w:r>
              <w:t>• worksheets</w:t>
            </w:r>
          </w:p>
          <w:p w:rsidR="0097363F" w:rsidRDefault="0097363F" w:rsidP="00F567C8">
            <w:r>
              <w:t>• group assignments</w:t>
            </w:r>
          </w:p>
          <w:p w:rsidR="0097363F" w:rsidRDefault="0097363F" w:rsidP="00F567C8">
            <w:r>
              <w:t>• homework completion</w:t>
            </w:r>
          </w:p>
          <w:p w:rsidR="0097363F" w:rsidRDefault="0097363F" w:rsidP="00F567C8">
            <w:r>
              <w:t>• in-class warm up questions</w:t>
            </w:r>
          </w:p>
          <w:p w:rsidR="0097363F" w:rsidRDefault="0097363F" w:rsidP="00F567C8"/>
        </w:tc>
        <w:tc>
          <w:tcPr>
            <w:tcW w:w="2826" w:type="dxa"/>
            <w:vAlign w:val="center"/>
          </w:tcPr>
          <w:p w:rsidR="0097363F" w:rsidRDefault="0097363F" w:rsidP="00F567C8">
            <w:pPr>
              <w:jc w:val="center"/>
            </w:pPr>
            <w:r>
              <w:t>10 %</w:t>
            </w:r>
          </w:p>
        </w:tc>
      </w:tr>
    </w:tbl>
    <w:p w:rsidR="0097363F" w:rsidRDefault="0097363F" w:rsidP="0097363F"/>
    <w:p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t>Work Habits Grade</w:t>
      </w:r>
    </w:p>
    <w:p w:rsidR="0097363F" w:rsidRDefault="0097363F" w:rsidP="0097363F">
      <w:r>
        <w:t>Students are encouraged to demonstrate the kind of work habits that would be valued in any job situation. In general, qualities like punctuality, preparedness, perseverance through problem solving activities and diligence are minimum expectations in the work force. Students will be evaluated specifically as outlined in the Delview Student Agenda.</w:t>
      </w:r>
    </w:p>
    <w:p w:rsidR="0097363F" w:rsidRDefault="0097363F" w:rsidP="0097363F"/>
    <w:p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lastRenderedPageBreak/>
        <w:t>Materials Required For Class</w:t>
      </w:r>
    </w:p>
    <w:p w:rsidR="0097363F" w:rsidRDefault="0097363F" w:rsidP="009736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7363F" w:rsidTr="00F567C8">
        <w:tblPrEx>
          <w:tblCellMar>
            <w:top w:w="0" w:type="dxa"/>
            <w:bottom w:w="0" w:type="dxa"/>
          </w:tblCellMar>
        </w:tblPrEx>
        <w:tc>
          <w:tcPr>
            <w:tcW w:w="4428" w:type="dxa"/>
          </w:tcPr>
          <w:p w:rsidR="0097363F" w:rsidRDefault="0097363F" w:rsidP="00F567C8">
            <w:pPr>
              <w:jc w:val="center"/>
              <w:rPr>
                <w:b/>
                <w:sz w:val="28"/>
              </w:rPr>
            </w:pPr>
            <w:r>
              <w:rPr>
                <w:b/>
                <w:sz w:val="28"/>
              </w:rPr>
              <w:t>Required Every Class</w:t>
            </w:r>
          </w:p>
        </w:tc>
        <w:tc>
          <w:tcPr>
            <w:tcW w:w="4428" w:type="dxa"/>
          </w:tcPr>
          <w:p w:rsidR="0097363F" w:rsidRDefault="0097363F" w:rsidP="00F567C8">
            <w:pPr>
              <w:jc w:val="center"/>
              <w:rPr>
                <w:b/>
                <w:sz w:val="28"/>
              </w:rPr>
            </w:pPr>
            <w:r>
              <w:rPr>
                <w:b/>
                <w:sz w:val="28"/>
              </w:rPr>
              <w:t>Required Occasionally</w:t>
            </w:r>
          </w:p>
        </w:tc>
      </w:tr>
      <w:tr w:rsidR="0097363F" w:rsidTr="00F567C8">
        <w:tblPrEx>
          <w:tblCellMar>
            <w:top w:w="0" w:type="dxa"/>
            <w:bottom w:w="0" w:type="dxa"/>
          </w:tblCellMar>
        </w:tblPrEx>
        <w:tc>
          <w:tcPr>
            <w:tcW w:w="4428" w:type="dxa"/>
          </w:tcPr>
          <w:p w:rsidR="0097363F" w:rsidRDefault="0097363F" w:rsidP="00F567C8">
            <w:r>
              <w:t>• 2 pencils (no erasable pens)</w:t>
            </w:r>
          </w:p>
          <w:p w:rsidR="0097363F" w:rsidRDefault="0097363F" w:rsidP="00F567C8">
            <w:r>
              <w:t>• good eraser</w:t>
            </w:r>
          </w:p>
          <w:p w:rsidR="0097363F" w:rsidRDefault="0097363F" w:rsidP="00F567C8">
            <w:r>
              <w:t>• Math textbook</w:t>
            </w:r>
          </w:p>
          <w:p w:rsidR="0097363F" w:rsidRDefault="0097363F" w:rsidP="00F567C8">
            <w:r>
              <w:t>• 3-ring binder with loose-leaf paper</w:t>
            </w:r>
          </w:p>
          <w:p w:rsidR="0097363F" w:rsidRDefault="0097363F" w:rsidP="00F567C8">
            <w:r>
              <w:rPr>
                <w:color w:val="000000"/>
              </w:rPr>
              <w:t xml:space="preserve">• </w:t>
            </w:r>
            <w:r w:rsidRPr="00EC3BE3">
              <w:rPr>
                <w:color w:val="000000"/>
              </w:rPr>
              <w:t>scientific</w:t>
            </w:r>
            <w:r>
              <w:rPr>
                <w:color w:val="FF0000"/>
              </w:rPr>
              <w:t xml:space="preserve"> </w:t>
            </w:r>
            <w:r>
              <w:t>calculator</w:t>
            </w:r>
          </w:p>
          <w:p w:rsidR="0097363F" w:rsidRDefault="0097363F" w:rsidP="00F567C8">
            <w:pPr>
              <w:pStyle w:val="Header"/>
            </w:pPr>
            <w:r>
              <w:t>• ballpoint pen for marking work</w:t>
            </w:r>
          </w:p>
          <w:p w:rsidR="0097363F" w:rsidRDefault="0097363F" w:rsidP="00F567C8">
            <w:r>
              <w:t>• 30 cm ruler (unbroken)</w:t>
            </w:r>
          </w:p>
        </w:tc>
        <w:tc>
          <w:tcPr>
            <w:tcW w:w="4428" w:type="dxa"/>
          </w:tcPr>
          <w:p w:rsidR="0097363F" w:rsidRDefault="0097363F" w:rsidP="00F567C8">
            <w:r>
              <w:t xml:space="preserve">• graphing paper </w:t>
            </w:r>
            <w:r>
              <w:rPr>
                <w:sz w:val="18"/>
              </w:rPr>
              <w:t>(always have some in binder)</w:t>
            </w:r>
          </w:p>
          <w:p w:rsidR="0097363F" w:rsidRDefault="0097363F" w:rsidP="00F567C8">
            <w:pPr>
              <w:pStyle w:val="Header"/>
            </w:pPr>
            <w:r>
              <w:t>• pencil crayons</w:t>
            </w:r>
          </w:p>
          <w:p w:rsidR="0097363F" w:rsidRDefault="0097363F" w:rsidP="00F567C8">
            <w:r>
              <w:t>• scissors</w:t>
            </w:r>
          </w:p>
          <w:p w:rsidR="0097363F" w:rsidRDefault="0097363F" w:rsidP="00F567C8">
            <w:r>
              <w:t>• miscellaneous minor supplies as required</w:t>
            </w:r>
          </w:p>
        </w:tc>
      </w:tr>
    </w:tbl>
    <w:p w:rsidR="0097363F" w:rsidRDefault="0097363F" w:rsidP="0097363F"/>
    <w:p w:rsidR="0097363F" w:rsidRDefault="0097363F" w:rsidP="0097363F"/>
    <w:p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t>Course Content</w:t>
      </w:r>
    </w:p>
    <w:p w:rsidR="0097363F" w:rsidRDefault="0097363F" w:rsidP="0097363F">
      <w:r>
        <w:t xml:space="preserve">The Foundations of Mathematics </w:t>
      </w:r>
      <w:r w:rsidRPr="00EC3BE3">
        <w:rPr>
          <w:color w:val="000000"/>
        </w:rPr>
        <w:t>10</w:t>
      </w:r>
      <w:r>
        <w:t xml:space="preserve"> curriculum covers 9 main topics.  It is meant to give the skills required for Foundations of Mathematics 11 or Pre-calculus 11.  For those students who wish to go on, the concepts will also be needed for Foundations of Mathematics 12, Pre-calculus 12, Calculus and beyond.</w:t>
      </w:r>
    </w:p>
    <w:p w:rsidR="0097363F" w:rsidRDefault="0097363F" w:rsidP="0097363F">
      <w:r>
        <w:t xml:space="preserve"> </w:t>
      </w:r>
    </w:p>
    <w:p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t>Course Outline</w:t>
      </w:r>
    </w:p>
    <w:p w:rsidR="0097363F" w:rsidRDefault="0097363F" w:rsidP="0097363F"/>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748"/>
        <w:gridCol w:w="2815"/>
      </w:tblGrid>
      <w:tr w:rsidR="0097363F" w:rsidTr="00F567C8">
        <w:tblPrEx>
          <w:tblCellMar>
            <w:top w:w="0" w:type="dxa"/>
            <w:bottom w:w="0" w:type="dxa"/>
          </w:tblCellMar>
        </w:tblPrEx>
        <w:trPr>
          <w:jc w:val="center"/>
        </w:trPr>
        <w:tc>
          <w:tcPr>
            <w:tcW w:w="5748" w:type="dxa"/>
          </w:tcPr>
          <w:p w:rsidR="0097363F" w:rsidRDefault="0097363F" w:rsidP="00F567C8">
            <w:pPr>
              <w:rPr>
                <w:b/>
                <w:sz w:val="28"/>
              </w:rPr>
            </w:pPr>
            <w:r>
              <w:rPr>
                <w:b/>
                <w:sz w:val="28"/>
              </w:rPr>
              <w:t>Topic</w:t>
            </w:r>
          </w:p>
        </w:tc>
        <w:tc>
          <w:tcPr>
            <w:tcW w:w="2815" w:type="dxa"/>
          </w:tcPr>
          <w:p w:rsidR="0097363F" w:rsidRDefault="0097363F" w:rsidP="00F567C8">
            <w:pPr>
              <w:jc w:val="center"/>
              <w:rPr>
                <w:b/>
                <w:sz w:val="28"/>
              </w:rPr>
            </w:pPr>
            <w:r>
              <w:rPr>
                <w:b/>
                <w:sz w:val="28"/>
              </w:rPr>
              <w:t>Chapter Of Textbook</w:t>
            </w:r>
          </w:p>
        </w:tc>
      </w:tr>
      <w:tr w:rsidR="0097363F" w:rsidTr="00F567C8">
        <w:tblPrEx>
          <w:tblCellMar>
            <w:top w:w="0" w:type="dxa"/>
            <w:bottom w:w="0" w:type="dxa"/>
          </w:tblCellMar>
        </w:tblPrEx>
        <w:trPr>
          <w:jc w:val="center"/>
        </w:trPr>
        <w:tc>
          <w:tcPr>
            <w:tcW w:w="5748" w:type="dxa"/>
          </w:tcPr>
          <w:p w:rsidR="0097363F" w:rsidRDefault="0097363F" w:rsidP="00F567C8">
            <w:r>
              <w:t>Rational Numbers</w:t>
            </w:r>
          </w:p>
          <w:p w:rsidR="0097363F" w:rsidRDefault="0097363F" w:rsidP="00F567C8">
            <w:r>
              <w:t>Powers and Exponents</w:t>
            </w:r>
          </w:p>
          <w:p w:rsidR="0097363F" w:rsidRDefault="0097363F" w:rsidP="00F567C8">
            <w:r>
              <w:t>Polynomials</w:t>
            </w:r>
          </w:p>
          <w:p w:rsidR="0097363F" w:rsidRDefault="0097363F" w:rsidP="00F567C8">
            <w:r>
              <w:t>Linear Relations</w:t>
            </w:r>
          </w:p>
          <w:p w:rsidR="0097363F" w:rsidRDefault="0097363F" w:rsidP="00F567C8">
            <w:r>
              <w:t>Solving Linear Equations</w:t>
            </w:r>
          </w:p>
          <w:p w:rsidR="0097363F" w:rsidRDefault="0097363F" w:rsidP="00F567C8">
            <w:r>
              <w:t>Linear Inequalities</w:t>
            </w:r>
          </w:p>
          <w:p w:rsidR="0097363F" w:rsidRDefault="0097363F" w:rsidP="00F567C8">
            <w:r>
              <w:t>Area and Volume</w:t>
            </w:r>
          </w:p>
          <w:p w:rsidR="0097363F" w:rsidRDefault="0097363F" w:rsidP="00F567C8">
            <w:r>
              <w:t>Data Collection and Statistics</w:t>
            </w:r>
          </w:p>
          <w:p w:rsidR="0097363F" w:rsidRDefault="0097363F" w:rsidP="0097363F">
            <w:r>
              <w:t>Scale Factors and Similarity</w:t>
            </w:r>
          </w:p>
        </w:tc>
        <w:tc>
          <w:tcPr>
            <w:tcW w:w="2815" w:type="dxa"/>
            <w:vAlign w:val="center"/>
          </w:tcPr>
          <w:p w:rsidR="0097363F" w:rsidRDefault="0097363F" w:rsidP="00F567C8">
            <w:pPr>
              <w:jc w:val="center"/>
            </w:pPr>
            <w:r>
              <w:t>2</w:t>
            </w:r>
          </w:p>
          <w:p w:rsidR="0097363F" w:rsidRDefault="0097363F" w:rsidP="00F567C8">
            <w:pPr>
              <w:jc w:val="center"/>
            </w:pPr>
            <w:r>
              <w:t>3</w:t>
            </w:r>
          </w:p>
          <w:p w:rsidR="0097363F" w:rsidRDefault="0097363F" w:rsidP="00F567C8">
            <w:pPr>
              <w:jc w:val="center"/>
            </w:pPr>
            <w:r>
              <w:t>5/7</w:t>
            </w:r>
          </w:p>
          <w:p w:rsidR="0097363F" w:rsidRDefault="0097363F" w:rsidP="00F567C8">
            <w:pPr>
              <w:jc w:val="center"/>
            </w:pPr>
            <w:r>
              <w:t>6</w:t>
            </w:r>
          </w:p>
          <w:p w:rsidR="0097363F" w:rsidRDefault="0097363F" w:rsidP="00F567C8">
            <w:pPr>
              <w:jc w:val="center"/>
            </w:pPr>
            <w:r>
              <w:t>8</w:t>
            </w:r>
          </w:p>
          <w:p w:rsidR="0097363F" w:rsidRDefault="0097363F" w:rsidP="00F567C8">
            <w:pPr>
              <w:jc w:val="center"/>
            </w:pPr>
            <w:r>
              <w:t>9</w:t>
            </w:r>
          </w:p>
          <w:p w:rsidR="0097363F" w:rsidRDefault="0097363F" w:rsidP="00F567C8">
            <w:pPr>
              <w:jc w:val="center"/>
            </w:pPr>
            <w:r>
              <w:t>1</w:t>
            </w:r>
          </w:p>
          <w:p w:rsidR="0097363F" w:rsidRDefault="0097363F" w:rsidP="00F567C8">
            <w:pPr>
              <w:jc w:val="center"/>
            </w:pPr>
            <w:r>
              <w:t>11</w:t>
            </w:r>
          </w:p>
          <w:p w:rsidR="0097363F" w:rsidRDefault="0097363F" w:rsidP="00F567C8">
            <w:pPr>
              <w:jc w:val="center"/>
            </w:pPr>
            <w:r>
              <w:t>4</w:t>
            </w:r>
          </w:p>
        </w:tc>
      </w:tr>
    </w:tbl>
    <w:p w:rsidR="0097363F" w:rsidRDefault="0097363F" w:rsidP="0097363F"/>
    <w:p w:rsidR="0097363F" w:rsidRDefault="0097363F" w:rsidP="0097363F">
      <w:pPr>
        <w:rPr>
          <w:sz w:val="28"/>
          <w:szCs w:val="28"/>
        </w:rPr>
      </w:pPr>
    </w:p>
    <w:p w:rsidR="0097363F" w:rsidRPr="00F460AF" w:rsidRDefault="0097363F" w:rsidP="0097363F">
      <w:pPr>
        <w:rPr>
          <w:b/>
          <w:sz w:val="32"/>
          <w:szCs w:val="32"/>
        </w:rPr>
      </w:pPr>
      <w:r w:rsidRPr="00F460AF">
        <w:rPr>
          <w:b/>
          <w:sz w:val="32"/>
          <w:szCs w:val="32"/>
        </w:rPr>
        <w:t>Classroom Expectations</w:t>
      </w:r>
    </w:p>
    <w:p w:rsidR="0097363F" w:rsidRDefault="0097363F" w:rsidP="0097363F">
      <w:pPr>
        <w:rPr>
          <w:sz w:val="28"/>
          <w:szCs w:val="28"/>
        </w:rPr>
      </w:pPr>
    </w:p>
    <w:p w:rsidR="00915099" w:rsidRDefault="003E45F7"/>
    <w:sectPr w:rsidR="00915099" w:rsidSect="00DF7073">
      <w:headerReference w:type="first" r:id="rId6"/>
      <w:pgSz w:w="12240" w:h="15840"/>
      <w:pgMar w:top="993" w:right="1183" w:bottom="1440" w:left="99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5F7" w:rsidRDefault="003E45F7" w:rsidP="0097363F">
      <w:r>
        <w:separator/>
      </w:r>
    </w:p>
  </w:endnote>
  <w:endnote w:type="continuationSeparator" w:id="0">
    <w:p w:rsidR="003E45F7" w:rsidRDefault="003E45F7" w:rsidP="0097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5F7" w:rsidRDefault="003E45F7" w:rsidP="0097363F">
      <w:r>
        <w:separator/>
      </w:r>
    </w:p>
  </w:footnote>
  <w:footnote w:type="continuationSeparator" w:id="0">
    <w:p w:rsidR="003E45F7" w:rsidRDefault="003E45F7" w:rsidP="00973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73" w:rsidRPr="00467175" w:rsidRDefault="0097363F" w:rsidP="00DF7073">
    <w:pPr>
      <w:jc w:val="center"/>
    </w:pPr>
    <w:r>
      <w:rPr>
        <w:u w:val="single"/>
      </w:rPr>
      <w:t>Principles of Math 9</w:t>
    </w:r>
    <w:r w:rsidR="003E45F7" w:rsidRPr="00467175">
      <w:rPr>
        <w:u w:val="single"/>
      </w:rPr>
      <w:t xml:space="preserve"> Course Outline</w:t>
    </w:r>
  </w:p>
  <w:p w:rsidR="00DF7073" w:rsidRDefault="003E4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3F"/>
    <w:rsid w:val="0028448D"/>
    <w:rsid w:val="003E45F7"/>
    <w:rsid w:val="005C22D7"/>
    <w:rsid w:val="0097363F"/>
    <w:rsid w:val="00C658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5A255-EA6A-4E06-B095-EB8CD80C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63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363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97363F"/>
    <w:pPr>
      <w:keepNext/>
      <w:jc w:val="center"/>
      <w:outlineLvl w:val="1"/>
    </w:pPr>
    <w:rPr>
      <w:b/>
      <w:sz w:val="36"/>
      <w:szCs w:val="20"/>
    </w:rPr>
  </w:style>
  <w:style w:type="paragraph" w:styleId="Heading3">
    <w:name w:val="heading 3"/>
    <w:basedOn w:val="Normal"/>
    <w:next w:val="Normal"/>
    <w:link w:val="Heading3Char"/>
    <w:semiHidden/>
    <w:unhideWhenUsed/>
    <w:qFormat/>
    <w:rsid w:val="0097363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63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rsid w:val="0097363F"/>
    <w:rPr>
      <w:rFonts w:ascii="Times New Roman" w:eastAsia="Times New Roman" w:hAnsi="Times New Roman" w:cs="Times New Roman"/>
      <w:b/>
      <w:sz w:val="36"/>
      <w:szCs w:val="20"/>
      <w:lang w:val="en-US"/>
    </w:rPr>
  </w:style>
  <w:style w:type="character" w:customStyle="1" w:styleId="Heading3Char">
    <w:name w:val="Heading 3 Char"/>
    <w:basedOn w:val="DefaultParagraphFont"/>
    <w:link w:val="Heading3"/>
    <w:semiHidden/>
    <w:rsid w:val="0097363F"/>
    <w:rPr>
      <w:rFonts w:asciiTheme="majorHAnsi" w:eastAsiaTheme="majorEastAsia" w:hAnsiTheme="majorHAnsi" w:cstheme="majorBidi"/>
      <w:b/>
      <w:bCs/>
      <w:sz w:val="26"/>
      <w:szCs w:val="26"/>
      <w:lang w:val="en-US"/>
    </w:rPr>
  </w:style>
  <w:style w:type="table" w:styleId="TableGrid">
    <w:name w:val="Table Grid"/>
    <w:basedOn w:val="TableNormal"/>
    <w:uiPriority w:val="59"/>
    <w:rsid w:val="0097363F"/>
    <w:pPr>
      <w:spacing w:after="0" w:line="240" w:lineRule="auto"/>
    </w:pPr>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7363F"/>
    <w:pPr>
      <w:tabs>
        <w:tab w:val="center" w:pos="4680"/>
        <w:tab w:val="right" w:pos="9360"/>
      </w:tabs>
    </w:pPr>
  </w:style>
  <w:style w:type="character" w:customStyle="1" w:styleId="HeaderChar">
    <w:name w:val="Header Char"/>
    <w:basedOn w:val="DefaultParagraphFont"/>
    <w:link w:val="Header"/>
    <w:rsid w:val="0097363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7363F"/>
    <w:pPr>
      <w:tabs>
        <w:tab w:val="center" w:pos="4680"/>
        <w:tab w:val="right" w:pos="9360"/>
      </w:tabs>
    </w:pPr>
  </w:style>
  <w:style w:type="character" w:customStyle="1" w:styleId="FooterChar">
    <w:name w:val="Footer Char"/>
    <w:basedOn w:val="DefaultParagraphFont"/>
    <w:link w:val="Footer"/>
    <w:uiPriority w:val="99"/>
    <w:rsid w:val="0097363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Menolly Lysne</dc:creator>
  <cp:keywords/>
  <dc:description/>
  <cp:lastModifiedBy>Menolly Lysne</cp:lastModifiedBy>
  <cp:revision>2</cp:revision>
  <dcterms:created xsi:type="dcterms:W3CDTF">2015-09-08T14:55:00Z</dcterms:created>
  <dcterms:modified xsi:type="dcterms:W3CDTF">2015-09-08T21:08:00Z</dcterms:modified>
</cp:coreProperties>
</file>